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676" w:rsidRDefault="00C52BC8">
      <w:pPr>
        <w:pStyle w:val="normal0"/>
      </w:pPr>
      <w:bookmarkStart w:id="0" w:name="_GoBack"/>
      <w:bookmarkEnd w:id="0"/>
      <w:r>
        <w:t xml:space="preserve">Unit 1:  Food Systems, Surplus &amp; Security </w:t>
      </w:r>
    </w:p>
    <w:p w:rsidR="00E01676" w:rsidRDefault="00C52BC8">
      <w:pPr>
        <w:pStyle w:val="normal0"/>
      </w:pPr>
      <w:r>
        <w:t>Concepts from the Course:  Understanding self with a synthesized narrative, Creating Dialogue out of Difference, Knowledge of World Trends, Asking Good Questions, See self as player not bystander</w:t>
      </w:r>
    </w:p>
    <w:p w:rsidR="00E01676" w:rsidRDefault="00C52BC8">
      <w:pPr>
        <w:pStyle w:val="normal0"/>
      </w:pPr>
      <w:r>
        <w:t>Guided by World Geography/Human Rights and Disciplinary (world history/geography)</w:t>
      </w:r>
    </w:p>
    <w:p w:rsidR="00E01676" w:rsidRDefault="00C52BC8">
      <w:pPr>
        <w:pStyle w:val="normal0"/>
      </w:pPr>
      <w:r>
        <w:t>Lessons:  10 block schedule 90-minute sessions or 14 45-minute sessions.</w:t>
      </w:r>
    </w:p>
    <w:p w:rsidR="00E01676" w:rsidRDefault="00E01676">
      <w:pPr>
        <w:pStyle w:val="normal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  <w:gridCol w:w="4392"/>
      </w:tblGrid>
      <w:tr w:rsidR="00E01676">
        <w:tc>
          <w:tcPr>
            <w:tcW w:w="4392" w:type="dxa"/>
            <w:shd w:val="clear" w:color="auto" w:fill="000000"/>
          </w:tcPr>
          <w:p w:rsidR="00E01676" w:rsidRDefault="00C52BC8">
            <w:pPr>
              <w:pStyle w:val="normal0"/>
              <w:jc w:val="center"/>
            </w:pPr>
            <w:r>
              <w:rPr>
                <w:b/>
                <w:color w:val="FFFFFF"/>
                <w:sz w:val="28"/>
              </w:rPr>
              <w:t>Stage 1 Desired Results</w:t>
            </w:r>
          </w:p>
        </w:tc>
        <w:tc>
          <w:tcPr>
            <w:tcW w:w="4392" w:type="dxa"/>
            <w:shd w:val="clear" w:color="auto" w:fill="000000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4392" w:type="dxa"/>
            <w:shd w:val="clear" w:color="auto" w:fill="000000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</w:tcPr>
          <w:p w:rsidR="00E01676" w:rsidRDefault="00C52BC8">
            <w:pPr>
              <w:pStyle w:val="normal0"/>
              <w:tabs>
                <w:tab w:val="right" w:pos="3960"/>
              </w:tabs>
            </w:pPr>
            <w:r>
              <w:t>ESTABLISHED GOALS</w:t>
            </w:r>
            <w:r>
              <w:tab/>
            </w:r>
          </w:p>
          <w:p w:rsidR="00E01676" w:rsidRDefault="00C52BC8">
            <w:pPr>
              <w:pStyle w:val="normal0"/>
              <w:tabs>
                <w:tab w:val="right" w:pos="3960"/>
              </w:tabs>
            </w:pPr>
            <w:r>
              <w:rPr>
                <w:color w:val="333333"/>
                <w:sz w:val="18"/>
              </w:rPr>
              <w:t>Students will be able to explain how agriculture and f</w:t>
            </w:r>
            <w:r>
              <w:rPr>
                <w:color w:val="333333"/>
                <w:sz w:val="18"/>
              </w:rPr>
              <w:t>ood surplus changed lifestyles around the world by accelerating cultural development and an increasing societal complexity.</w:t>
            </w:r>
          </w:p>
          <w:p w:rsidR="00E01676" w:rsidRDefault="00E01676">
            <w:pPr>
              <w:pStyle w:val="normal0"/>
              <w:tabs>
                <w:tab w:val="right" w:pos="3960"/>
              </w:tabs>
            </w:pPr>
          </w:p>
          <w:p w:rsidR="00E01676" w:rsidRDefault="00C52BC8">
            <w:pPr>
              <w:pStyle w:val="normal0"/>
              <w:tabs>
                <w:tab w:val="right" w:pos="3960"/>
              </w:tabs>
            </w:pPr>
            <w:r>
              <w:rPr>
                <w:color w:val="333333"/>
                <w:sz w:val="18"/>
              </w:rPr>
              <w:t>Students will be able to explain the positive and negative impacts of agriculture and food surplus.</w:t>
            </w:r>
          </w:p>
          <w:p w:rsidR="00E01676" w:rsidRDefault="00E01676">
            <w:pPr>
              <w:pStyle w:val="normal0"/>
              <w:tabs>
                <w:tab w:val="right" w:pos="3960"/>
              </w:tabs>
            </w:pPr>
          </w:p>
          <w:p w:rsidR="00E01676" w:rsidRDefault="00C52BC8">
            <w:pPr>
              <w:pStyle w:val="normal0"/>
              <w:tabs>
                <w:tab w:val="right" w:pos="3960"/>
              </w:tabs>
            </w:pPr>
            <w:r>
              <w:rPr>
                <w:color w:val="333333"/>
                <w:sz w:val="18"/>
              </w:rPr>
              <w:t>Students will create discussio</w:t>
            </w:r>
            <w:r>
              <w:rPr>
                <w:color w:val="333333"/>
                <w:sz w:val="18"/>
              </w:rPr>
              <w:t>n and research questions to guide research and inquiry.</w:t>
            </w:r>
          </w:p>
          <w:p w:rsidR="00E01676" w:rsidRDefault="00E01676">
            <w:pPr>
              <w:pStyle w:val="normal0"/>
              <w:tabs>
                <w:tab w:val="right" w:pos="3960"/>
              </w:tabs>
            </w:pPr>
          </w:p>
          <w:p w:rsidR="00E01676" w:rsidRDefault="00C52BC8">
            <w:pPr>
              <w:pStyle w:val="normal0"/>
              <w:tabs>
                <w:tab w:val="right" w:pos="3960"/>
              </w:tabs>
            </w:pPr>
            <w:r>
              <w:rPr>
                <w:color w:val="333333"/>
                <w:sz w:val="18"/>
              </w:rPr>
              <w:t xml:space="preserve">Students will cite specific </w:t>
            </w:r>
            <w:r>
              <w:rPr>
                <w:color w:val="202020"/>
                <w:sz w:val="18"/>
              </w:rPr>
              <w:t xml:space="preserve">textual evidence to support analysis of </w:t>
            </w:r>
            <w:r>
              <w:rPr>
                <w:color w:val="333333"/>
                <w:sz w:val="18"/>
              </w:rPr>
              <w:t>a variety of texts.</w:t>
            </w:r>
          </w:p>
          <w:p w:rsidR="00E01676" w:rsidRDefault="00E01676">
            <w:pPr>
              <w:pStyle w:val="normal0"/>
              <w:tabs>
                <w:tab w:val="right" w:pos="3960"/>
              </w:tabs>
            </w:pPr>
          </w:p>
          <w:p w:rsidR="00E01676" w:rsidRDefault="00C52BC8">
            <w:pPr>
              <w:pStyle w:val="normal0"/>
              <w:tabs>
                <w:tab w:val="right" w:pos="3960"/>
              </w:tabs>
            </w:pPr>
            <w:r>
              <w:rPr>
                <w:color w:val="202020"/>
                <w:sz w:val="18"/>
              </w:rPr>
              <w:t>Students will compare the point of view of two or more authors for how they treat the same or similar topics.</w:t>
            </w:r>
          </w:p>
          <w:p w:rsidR="00E01676" w:rsidRDefault="00E01676">
            <w:pPr>
              <w:pStyle w:val="normal0"/>
              <w:tabs>
                <w:tab w:val="right" w:pos="3960"/>
              </w:tabs>
            </w:pPr>
          </w:p>
        </w:tc>
        <w:tc>
          <w:tcPr>
            <w:tcW w:w="4392" w:type="dxa"/>
            <w:shd w:val="clear" w:color="auto" w:fill="D9D9D9"/>
          </w:tcPr>
          <w:p w:rsidR="00E01676" w:rsidRDefault="00C52BC8">
            <w:pPr>
              <w:pStyle w:val="normal0"/>
              <w:jc w:val="center"/>
            </w:pPr>
            <w:r>
              <w:rPr>
                <w:b/>
                <w:i/>
              </w:rPr>
              <w:t>Transfer</w:t>
            </w:r>
          </w:p>
        </w:tc>
        <w:tc>
          <w:tcPr>
            <w:tcW w:w="4392" w:type="dxa"/>
            <w:shd w:val="clear" w:color="auto" w:fill="D9D9D9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</w:tcPr>
          <w:p w:rsidR="00E01676" w:rsidRDefault="00E01676">
            <w:pPr>
              <w:pStyle w:val="normal0"/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  <w:tabs>
                <w:tab w:val="right" w:pos="8388"/>
              </w:tabs>
            </w:pPr>
            <w:r>
              <w:rPr>
                <w:i/>
              </w:rPr>
              <w:t>Students will be able to independently use their learning to…</w:t>
            </w:r>
            <w:r>
              <w:rPr>
                <w:i/>
                <w:sz w:val="20"/>
              </w:rPr>
              <w:tab/>
            </w:r>
          </w:p>
          <w:p w:rsidR="00E01676" w:rsidRDefault="00C52BC8">
            <w:pPr>
              <w:pStyle w:val="normal0"/>
              <w:tabs>
                <w:tab w:val="right" w:pos="8388"/>
              </w:tabs>
            </w:pPr>
            <w:proofErr w:type="gramStart"/>
            <w:r>
              <w:rPr>
                <w:color w:val="333333"/>
                <w:sz w:val="20"/>
              </w:rPr>
              <w:t>apply</w:t>
            </w:r>
            <w:proofErr w:type="gramEnd"/>
            <w:r>
              <w:rPr>
                <w:color w:val="333333"/>
                <w:sz w:val="20"/>
              </w:rPr>
              <w:t xml:space="preserve"> lessons from the history of food to address local and global food insecurity issues.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</w:tcPr>
          <w:p w:rsidR="00E01676" w:rsidRDefault="00E01676">
            <w:pPr>
              <w:pStyle w:val="normal0"/>
            </w:pPr>
          </w:p>
        </w:tc>
        <w:tc>
          <w:tcPr>
            <w:tcW w:w="4392" w:type="dxa"/>
            <w:shd w:val="clear" w:color="auto" w:fill="D9D9D9"/>
          </w:tcPr>
          <w:p w:rsidR="00E01676" w:rsidRDefault="00C52BC8">
            <w:pPr>
              <w:pStyle w:val="normal0"/>
              <w:jc w:val="center"/>
            </w:pPr>
            <w:r>
              <w:rPr>
                <w:b/>
                <w:i/>
              </w:rPr>
              <w:t>Meaning</w:t>
            </w:r>
          </w:p>
        </w:tc>
        <w:tc>
          <w:tcPr>
            <w:tcW w:w="4392" w:type="dxa"/>
            <w:shd w:val="clear" w:color="auto" w:fill="D9D9D9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</w:tcPr>
          <w:p w:rsidR="00E01676" w:rsidRDefault="00E01676">
            <w:pPr>
              <w:pStyle w:val="normal0"/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  <w:tabs>
                <w:tab w:val="right" w:pos="4075"/>
              </w:tabs>
            </w:pPr>
            <w:r>
              <w:t>UNDERSTANDINGS</w:t>
            </w:r>
            <w:r>
              <w:tab/>
            </w:r>
          </w:p>
          <w:p w:rsidR="00E01676" w:rsidRDefault="00C52BC8">
            <w:pPr>
              <w:pStyle w:val="normal0"/>
            </w:pPr>
            <w:r>
              <w:rPr>
                <w:i/>
              </w:rPr>
              <w:t>Students will understand that…</w:t>
            </w:r>
          </w:p>
          <w:p w:rsidR="00E01676" w:rsidRDefault="00C52BC8">
            <w:pPr>
              <w:pStyle w:val="normal0"/>
            </w:pPr>
            <w:r>
              <w:t xml:space="preserve">Agriculture, food surplus, and the evolution of the food system </w:t>
            </w:r>
            <w:proofErr w:type="gramStart"/>
            <w:r>
              <w:t>has</w:t>
            </w:r>
            <w:proofErr w:type="gramEnd"/>
            <w:r>
              <w:t xml:space="preserve"> positive and negative effects on society.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  <w:tabs>
                <w:tab w:val="right" w:pos="4016"/>
              </w:tabs>
            </w:pPr>
            <w:r>
              <w:t>ESSENTIAL QUESTIONS</w:t>
            </w:r>
            <w:r>
              <w:tab/>
            </w:r>
          </w:p>
          <w:p w:rsidR="00E01676" w:rsidRDefault="00C52BC8">
            <w:pPr>
              <w:pStyle w:val="normal0"/>
              <w:tabs>
                <w:tab w:val="right" w:pos="4016"/>
              </w:tabs>
            </w:pPr>
            <w:r>
              <w:rPr>
                <w:rFonts w:ascii="Helvetica Neue" w:eastAsia="Helvetica Neue" w:hAnsi="Helvetica Neue" w:cs="Helvetica Neue"/>
                <w:i/>
                <w:color w:val="333333"/>
                <w:sz w:val="18"/>
              </w:rPr>
              <w:t>Why are 820 billion people starving daily when food has never been in such abundance?</w:t>
            </w:r>
          </w:p>
          <w:p w:rsidR="00E01676" w:rsidRDefault="00E01676">
            <w:pPr>
              <w:pStyle w:val="normal0"/>
              <w:tabs>
                <w:tab w:val="right" w:pos="4016"/>
              </w:tabs>
            </w:pPr>
          </w:p>
          <w:p w:rsidR="00E01676" w:rsidRDefault="00C52BC8">
            <w:pPr>
              <w:pStyle w:val="normal0"/>
              <w:tabs>
                <w:tab w:val="right" w:pos="4016"/>
              </w:tabs>
            </w:pPr>
            <w:r>
              <w:rPr>
                <w:rFonts w:ascii="Helvetica Neue" w:eastAsia="Helvetica Neue" w:hAnsi="Helvetica Neue" w:cs="Helvetica Neue"/>
                <w:i/>
                <w:color w:val="333333"/>
                <w:sz w:val="18"/>
              </w:rPr>
              <w:t>How have changes in the food system af</w:t>
            </w:r>
            <w:r>
              <w:rPr>
                <w:rFonts w:ascii="Helvetica Neue" w:eastAsia="Helvetica Neue" w:hAnsi="Helvetica Neue" w:cs="Helvetica Neue"/>
                <w:i/>
                <w:color w:val="333333"/>
                <w:sz w:val="18"/>
              </w:rPr>
              <w:t>fected lifestyles?</w:t>
            </w:r>
            <w:r>
              <w:t xml:space="preserve">  </w:t>
            </w:r>
          </w:p>
          <w:p w:rsidR="00E01676" w:rsidRDefault="00E01676">
            <w:pPr>
              <w:pStyle w:val="normal0"/>
              <w:tabs>
                <w:tab w:val="right" w:pos="4016"/>
              </w:tabs>
            </w:pPr>
          </w:p>
          <w:p w:rsidR="00E01676" w:rsidRDefault="00C52BC8">
            <w:pPr>
              <w:pStyle w:val="normal0"/>
              <w:tabs>
                <w:tab w:val="right" w:pos="4016"/>
              </w:tabs>
            </w:pPr>
            <w:r>
              <w:rPr>
                <w:rFonts w:ascii="Helvetica Neue" w:eastAsia="Helvetica Neue" w:hAnsi="Helvetica Neue" w:cs="Helvetica Neue"/>
                <w:i/>
                <w:color w:val="333333"/>
                <w:sz w:val="18"/>
              </w:rPr>
              <w:t xml:space="preserve">Have these changes been for the benefit of humanity? </w:t>
            </w:r>
          </w:p>
          <w:p w:rsidR="00E01676" w:rsidRDefault="00E01676">
            <w:pPr>
              <w:pStyle w:val="normal0"/>
              <w:tabs>
                <w:tab w:val="right" w:pos="4016"/>
              </w:tabs>
            </w:pPr>
          </w:p>
          <w:p w:rsidR="00E01676" w:rsidRDefault="00C52BC8">
            <w:pPr>
              <w:pStyle w:val="normal0"/>
              <w:tabs>
                <w:tab w:val="right" w:pos="4016"/>
              </w:tabs>
            </w:pPr>
            <w:r>
              <w:rPr>
                <w:rFonts w:ascii="Helvetica Neue" w:eastAsia="Helvetica Neue" w:hAnsi="Helvetica Neue" w:cs="Helvetica Neue"/>
                <w:i/>
                <w:color w:val="333333"/>
                <w:sz w:val="18"/>
              </w:rPr>
              <w:t>What lessons can be learned from the history of food?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</w:rPr>
              <w:t xml:space="preserve"> </w:t>
            </w:r>
          </w:p>
          <w:p w:rsidR="00E01676" w:rsidRDefault="00E01676">
            <w:pPr>
              <w:pStyle w:val="normal0"/>
              <w:tabs>
                <w:tab w:val="right" w:pos="4016"/>
              </w:tabs>
            </w:pPr>
          </w:p>
        </w:tc>
      </w:tr>
      <w:tr w:rsidR="00E01676">
        <w:tc>
          <w:tcPr>
            <w:tcW w:w="4392" w:type="dxa"/>
          </w:tcPr>
          <w:p w:rsidR="00E01676" w:rsidRDefault="00E01676">
            <w:pPr>
              <w:pStyle w:val="normal0"/>
            </w:pP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D9D9D9"/>
          </w:tcPr>
          <w:p w:rsidR="00E01676" w:rsidRDefault="00C52BC8">
            <w:pPr>
              <w:pStyle w:val="normal0"/>
              <w:jc w:val="center"/>
            </w:pPr>
            <w:r>
              <w:rPr>
                <w:b/>
                <w:i/>
              </w:rPr>
              <w:t>Acquisition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D9D9D9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E01676">
            <w:pPr>
              <w:pStyle w:val="normal0"/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  <w:tabs>
                <w:tab w:val="right" w:pos="4075"/>
              </w:tabs>
            </w:pPr>
            <w:r>
              <w:rPr>
                <w:i/>
              </w:rPr>
              <w:t>Students will know…</w:t>
            </w:r>
            <w:r>
              <w:rPr>
                <w:i/>
              </w:rPr>
              <w:tab/>
            </w:r>
          </w:p>
          <w:p w:rsidR="00E01676" w:rsidRDefault="00C52BC8">
            <w:pPr>
              <w:pStyle w:val="normal0"/>
              <w:tabs>
                <w:tab w:val="right" w:pos="4075"/>
              </w:tabs>
            </w:pPr>
            <w:r>
              <w:t>The history of food in a variety of locations.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  <w:tabs>
                <w:tab w:val="right" w:pos="4003"/>
              </w:tabs>
            </w:pPr>
            <w:r>
              <w:rPr>
                <w:i/>
              </w:rPr>
              <w:t>Students will be skilled at…</w:t>
            </w:r>
            <w:r>
              <w:rPr>
                <w:i/>
              </w:rPr>
              <w:tab/>
            </w:r>
          </w:p>
          <w:p w:rsidR="00E01676" w:rsidRDefault="00C52BC8">
            <w:pPr>
              <w:pStyle w:val="normal0"/>
              <w:tabs>
                <w:tab w:val="right" w:pos="4003"/>
              </w:tabs>
            </w:pPr>
            <w:r>
              <w:t>Creating discussion and research questions, using textual evidence to support claims, and analyzing concepts relating to food security from two or more perspectives.</w:t>
            </w:r>
          </w:p>
        </w:tc>
      </w:tr>
      <w:tr w:rsidR="00E01676">
        <w:tc>
          <w:tcPr>
            <w:tcW w:w="4392" w:type="dxa"/>
            <w:tcBorders>
              <w:bottom w:val="single" w:sz="4" w:space="0" w:color="000000"/>
            </w:tcBorders>
            <w:shd w:val="clear" w:color="auto" w:fill="000000"/>
          </w:tcPr>
          <w:p w:rsidR="00E01676" w:rsidRDefault="00C52BC8">
            <w:pPr>
              <w:pStyle w:val="normal0"/>
              <w:jc w:val="center"/>
            </w:pPr>
            <w:r>
              <w:rPr>
                <w:b/>
                <w:color w:val="FFFFFF"/>
                <w:sz w:val="28"/>
              </w:rPr>
              <w:t>Stage 2 – Evidence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000000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000000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  <w:shd w:val="clear" w:color="auto" w:fill="D9D9D9"/>
          </w:tcPr>
          <w:p w:rsidR="00E01676" w:rsidRDefault="00C52BC8">
            <w:pPr>
              <w:pStyle w:val="normal0"/>
            </w:pPr>
            <w:r>
              <w:rPr>
                <w:b/>
              </w:rPr>
              <w:t>Evaluative Criteria</w:t>
            </w:r>
          </w:p>
        </w:tc>
        <w:tc>
          <w:tcPr>
            <w:tcW w:w="4392" w:type="dxa"/>
            <w:shd w:val="clear" w:color="auto" w:fill="D9D9D9"/>
          </w:tcPr>
          <w:p w:rsidR="00E01676" w:rsidRDefault="00C52BC8">
            <w:pPr>
              <w:pStyle w:val="normal0"/>
            </w:pPr>
            <w:r>
              <w:rPr>
                <w:b/>
              </w:rPr>
              <w:t>Assessment Evidence</w:t>
            </w:r>
          </w:p>
        </w:tc>
        <w:tc>
          <w:tcPr>
            <w:tcW w:w="4392" w:type="dxa"/>
            <w:shd w:val="clear" w:color="auto" w:fill="D9D9D9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</w:tcPr>
          <w:p w:rsidR="00E01676" w:rsidRDefault="00C52BC8">
            <w:pPr>
              <w:pStyle w:val="normal0"/>
              <w:tabs>
                <w:tab w:val="right" w:pos="8408"/>
              </w:tabs>
            </w:pPr>
            <w:bookmarkStart w:id="1" w:name="h.gjdgxs" w:colFirst="0" w:colLast="0"/>
            <w:bookmarkEnd w:id="1"/>
            <w:r>
              <w:t>1.  Inquisitive, Listens to others’ perspectives, incorporates and expands on others’ ideas, promotes deeper analysis</w:t>
            </w:r>
          </w:p>
          <w:p w:rsidR="00E01676" w:rsidRDefault="00E01676">
            <w:pPr>
              <w:pStyle w:val="normal0"/>
            </w:pPr>
          </w:p>
          <w:p w:rsidR="00E01676" w:rsidRDefault="00C52BC8">
            <w:pPr>
              <w:pStyle w:val="normal0"/>
            </w:pPr>
            <w:r>
              <w:t>2.   Clearly articulated, insightful, well researched</w:t>
            </w:r>
          </w:p>
          <w:p w:rsidR="00E01676" w:rsidRDefault="00E01676">
            <w:pPr>
              <w:pStyle w:val="normal0"/>
            </w:pPr>
          </w:p>
          <w:p w:rsidR="00E01676" w:rsidRDefault="00E01676">
            <w:pPr>
              <w:pStyle w:val="normal0"/>
            </w:pPr>
          </w:p>
          <w:p w:rsidR="00E01676" w:rsidRDefault="00C52BC8">
            <w:pPr>
              <w:pStyle w:val="normal0"/>
            </w:pPr>
            <w:r>
              <w:t>3.  Clear symbolism, includes diverse contributions, organized</w:t>
            </w:r>
          </w:p>
        </w:tc>
        <w:tc>
          <w:tcPr>
            <w:tcW w:w="4392" w:type="dxa"/>
          </w:tcPr>
          <w:p w:rsidR="00E01676" w:rsidRDefault="00C52BC8">
            <w:pPr>
              <w:pStyle w:val="normal0"/>
              <w:tabs>
                <w:tab w:val="right" w:pos="8408"/>
              </w:tabs>
            </w:pPr>
            <w:r>
              <w:t xml:space="preserve">TRANSFER </w:t>
            </w:r>
            <w:proofErr w:type="gramStart"/>
            <w:r>
              <w:t>TASK(</w:t>
            </w:r>
            <w:proofErr w:type="gramEnd"/>
            <w:r>
              <w:t>S):</w:t>
            </w:r>
            <w:r>
              <w:tab/>
            </w:r>
          </w:p>
          <w:p w:rsidR="00E01676" w:rsidRDefault="00C52BC8">
            <w:pPr>
              <w:pStyle w:val="normal0"/>
            </w:pPr>
            <w:r>
              <w:rPr>
                <w:b/>
              </w:rPr>
              <w:t xml:space="preserve">1. Teaching Boxes:  </w:t>
            </w:r>
            <w:r>
              <w:t>Research the impact of agriculture on one of the 8 features of civilization.  Decorate three sides of a box to illustrate how agriculture caused the feature to become more complex &amp; diverse through time.</w:t>
            </w:r>
          </w:p>
          <w:p w:rsidR="00E01676" w:rsidRDefault="00E01676">
            <w:pPr>
              <w:pStyle w:val="normal0"/>
            </w:pPr>
          </w:p>
          <w:p w:rsidR="00E01676" w:rsidRDefault="00C52BC8">
            <w:pPr>
              <w:pStyle w:val="normal0"/>
            </w:pPr>
            <w:r>
              <w:rPr>
                <w:b/>
              </w:rPr>
              <w:t>2.  You Don’t Know Hunger Poem</w:t>
            </w:r>
            <w:r>
              <w:rPr>
                <w:b/>
              </w:rPr>
              <w:t>s:</w:t>
            </w:r>
            <w:r>
              <w:t xml:space="preserve">  Layer hunger experiences from personal to local to global perspectives into a poem that expresses those experiences.</w:t>
            </w:r>
          </w:p>
          <w:p w:rsidR="00E01676" w:rsidRDefault="00E01676">
            <w:pPr>
              <w:pStyle w:val="normal0"/>
            </w:pPr>
          </w:p>
          <w:p w:rsidR="00E01676" w:rsidRDefault="00C52BC8">
            <w:pPr>
              <w:pStyle w:val="normal0"/>
            </w:pPr>
            <w:r>
              <w:rPr>
                <w:b/>
              </w:rPr>
              <w:t>3.  Food Aid Concentric Circles:</w:t>
            </w:r>
            <w:r>
              <w:t xml:space="preserve">  Support or Attack the US Food Aid Policy.</w:t>
            </w:r>
          </w:p>
          <w:p w:rsidR="00E01676" w:rsidRDefault="00E01676">
            <w:pPr>
              <w:pStyle w:val="normal0"/>
              <w:tabs>
                <w:tab w:val="right" w:pos="8408"/>
              </w:tabs>
            </w:pPr>
          </w:p>
        </w:tc>
        <w:tc>
          <w:tcPr>
            <w:tcW w:w="4392" w:type="dxa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</w:pPr>
            <w:r>
              <w:lastRenderedPageBreak/>
              <w:t>4.  Detailed, Accurate</w:t>
            </w:r>
          </w:p>
          <w:p w:rsidR="00E01676" w:rsidRDefault="00C52BC8">
            <w:pPr>
              <w:pStyle w:val="normal0"/>
            </w:pPr>
            <w:r>
              <w:t>5.  Collaborative, Productive</w:t>
            </w:r>
          </w:p>
          <w:p w:rsidR="00E01676" w:rsidRDefault="00C52BC8">
            <w:pPr>
              <w:pStyle w:val="normal0"/>
            </w:pPr>
            <w:r>
              <w:t>6.  Thoughtful, Relevant, Diverse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C52BC8">
            <w:pPr>
              <w:pStyle w:val="normal0"/>
              <w:tabs>
                <w:tab w:val="right" w:pos="8421"/>
              </w:tabs>
            </w:pPr>
            <w:r>
              <w:t>OTHER EVIDENCE:</w:t>
            </w:r>
            <w:r>
              <w:tab/>
            </w:r>
          </w:p>
          <w:p w:rsidR="00E01676" w:rsidRDefault="00C52BC8">
            <w:pPr>
              <w:pStyle w:val="normal0"/>
              <w:tabs>
                <w:tab w:val="right" w:pos="8421"/>
              </w:tabs>
            </w:pPr>
            <w:r>
              <w:t xml:space="preserve">4.  </w:t>
            </w:r>
            <w:proofErr w:type="spellStart"/>
            <w:r>
              <w:t>Textmaster</w:t>
            </w:r>
            <w:proofErr w:type="spellEnd"/>
            <w:r>
              <w:t xml:space="preserve"> Team Reports</w:t>
            </w:r>
          </w:p>
          <w:p w:rsidR="00E01676" w:rsidRDefault="00C52BC8">
            <w:pPr>
              <w:pStyle w:val="normal0"/>
              <w:tabs>
                <w:tab w:val="right" w:pos="8421"/>
              </w:tabs>
            </w:pPr>
            <w:r>
              <w:t>5.  Inquiry Chart Completion</w:t>
            </w:r>
          </w:p>
          <w:p w:rsidR="00E01676" w:rsidRDefault="00C52BC8">
            <w:pPr>
              <w:pStyle w:val="normal0"/>
              <w:tabs>
                <w:tab w:val="right" w:pos="8421"/>
              </w:tabs>
            </w:pPr>
            <w:r>
              <w:t>6.  Higher Order Question Creation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  <w:shd w:val="clear" w:color="auto" w:fill="000000"/>
          </w:tcPr>
          <w:p w:rsidR="00E01676" w:rsidRDefault="00C52BC8">
            <w:pPr>
              <w:pStyle w:val="normal0"/>
              <w:jc w:val="center"/>
            </w:pPr>
            <w:r>
              <w:rPr>
                <w:b/>
                <w:color w:val="FFFFFF"/>
                <w:sz w:val="28"/>
              </w:rPr>
              <w:t>Stage 3 – Learning Plan</w:t>
            </w:r>
          </w:p>
        </w:tc>
        <w:tc>
          <w:tcPr>
            <w:tcW w:w="4392" w:type="dxa"/>
            <w:shd w:val="clear" w:color="auto" w:fill="000000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4392" w:type="dxa"/>
            <w:shd w:val="clear" w:color="auto" w:fill="000000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  <w:tr w:rsidR="00E01676">
        <w:tc>
          <w:tcPr>
            <w:tcW w:w="4392" w:type="dxa"/>
          </w:tcPr>
          <w:p w:rsidR="00E01676" w:rsidRDefault="00C52BC8">
            <w:pPr>
              <w:pStyle w:val="normal0"/>
              <w:jc w:val="center"/>
            </w:pPr>
            <w:r>
              <w:rPr>
                <w:i/>
              </w:rPr>
              <w:t>Summary of Key Learning Events and Instruction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>Station Anticipation Guide –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</w:rPr>
              <w:t xml:space="preserve"> 4 topic exploration stations:  a food game, photos of different families’ monthly food purchases from different nations’, and an interactive chart displaying the accessibility and quality of food in different locations and a map of hunger station.  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proofErr w:type="spellStart"/>
            <w:r>
              <w:t>Textm</w:t>
            </w:r>
            <w:r>
              <w:t>aster</w:t>
            </w:r>
            <w:proofErr w:type="spellEnd"/>
            <w:r>
              <w:t xml:space="preserve"> Teams – Traditional Lit Circle with Background Readings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 xml:space="preserve">Inquiry Chart:  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</w:rPr>
              <w:t>Chart to compare and contrast two perspectives on the impact of farming.  One is from the textbook (Ch. 1 sect. 2) and the other is an article found on the Internet.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>Teaching Box</w:t>
            </w:r>
            <w:r>
              <w:t xml:space="preserve"> Teams – See notes above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>Surplus Essay – Use Focused Question Cards to write &amp; revise an essay regarding teaching box presentations.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 xml:space="preserve">Food Systems Text Talk Teams – Create </w:t>
            </w:r>
            <w:proofErr w:type="gramStart"/>
            <w:r>
              <w:t>open ended</w:t>
            </w:r>
            <w:proofErr w:type="gramEnd"/>
            <w:r>
              <w:t xml:space="preserve"> historical inquiry </w:t>
            </w:r>
            <w:r>
              <w:lastRenderedPageBreak/>
              <w:t>questions for discussion on food systems &amp; food securit</w:t>
            </w:r>
            <w:r>
              <w:t>y.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>You Don’t Know Hunger Poems – see description above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>Food Aid Concentric Circle – see description above</w:t>
            </w:r>
          </w:p>
          <w:p w:rsidR="00E01676" w:rsidRDefault="00C52BC8">
            <w:pPr>
              <w:pStyle w:val="normal0"/>
              <w:numPr>
                <w:ilvl w:val="0"/>
                <w:numId w:val="1"/>
              </w:numPr>
              <w:spacing w:after="200" w:line="276" w:lineRule="auto"/>
              <w:ind w:hanging="359"/>
              <w:contextualSpacing/>
            </w:pPr>
            <w:r>
              <w:t xml:space="preserve"> I Can Collage - 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</w:rPr>
              <w:t xml:space="preserve">Class collage of solutions to food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18"/>
              </w:rPr>
              <w:t>insecuritythat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18"/>
              </w:rPr>
              <w:t xml:space="preserve"> students can participate in.</w:t>
            </w:r>
          </w:p>
        </w:tc>
        <w:tc>
          <w:tcPr>
            <w:tcW w:w="4392" w:type="dxa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4392" w:type="dxa"/>
          </w:tcPr>
          <w:p w:rsidR="00E01676" w:rsidRDefault="00E01676">
            <w:pPr>
              <w:pStyle w:val="normal0"/>
              <w:widowControl w:val="0"/>
              <w:spacing w:after="200" w:line="276" w:lineRule="auto"/>
            </w:pPr>
          </w:p>
        </w:tc>
      </w:tr>
    </w:tbl>
    <w:p w:rsidR="00E01676" w:rsidRDefault="00E01676">
      <w:pPr>
        <w:pStyle w:val="normal0"/>
      </w:pPr>
    </w:p>
    <w:sectPr w:rsidR="00E01676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DAC"/>
    <w:multiLevelType w:val="multilevel"/>
    <w:tmpl w:val="946C98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676"/>
    <w:rsid w:val="00C52BC8"/>
    <w:rsid w:val="00E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3367</Characters>
  <Application>Microsoft Macintosh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UbD Food Systems, Surplus, and Security.docx</dc:title>
  <cp:lastModifiedBy>Frances Wilkins</cp:lastModifiedBy>
  <cp:revision>2</cp:revision>
  <dcterms:created xsi:type="dcterms:W3CDTF">2014-08-29T17:08:00Z</dcterms:created>
  <dcterms:modified xsi:type="dcterms:W3CDTF">2014-08-29T17:08:00Z</dcterms:modified>
</cp:coreProperties>
</file>